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CFOT-120 HISTORY BOOKS I</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JOSHUA, JUDGES, RUTH, EZRA, NEHEMIAH, ESTHER</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pStyle w:val="14"/>
              <w:keepNext w:val="0"/>
              <w:keepLines w:val="0"/>
              <w:widowControl/>
              <w:suppressLineNumbers w:val="0"/>
              <w:bidi w:val="0"/>
              <w:spacing w:before="0" w:beforeAutospacing="0" w:after="0" w:afterAutospacing="0" w:line="18" w:lineRule="atLeast"/>
              <w:rPr>
                <w:rFonts w:hint="default" w:asciiTheme="minorAscii"/>
                <w:sz w:val="22"/>
                <w:szCs w:val="22"/>
                <w:lang w:val="en-US"/>
              </w:rPr>
            </w:pPr>
            <w:r>
              <w:rPr>
                <w:rFonts w:ascii="Segoe UI" w:hAnsi="Segoe UI" w:eastAsia="Segoe UI" w:cs="Segoe UI"/>
                <w:i w:val="0"/>
                <w:iCs w:val="0"/>
                <w:caps w:val="0"/>
                <w:color w:val="374151"/>
                <w:spacing w:val="0"/>
                <w:sz w:val="24"/>
                <w:szCs w:val="24"/>
                <w:shd w:val="clear" w:fill="F7F7F8"/>
              </w:rPr>
              <w:t>Analyze the social and economic reforms initiated by Nehemiah in Jerusalem. Discuss his efforts to address issues such as poverty, usury, and social injustice among the returned exiles. Explore the significance of these reforms in promoting social cohesion and equality within the community. Reflect on the principles of justice, compassion, and community welfare as exemplified in Nehemiah's initiatives, and consider their relevance in contemporary social and economic contexts.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Theme="minorAsci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Examine the leadership qualities of Nehemiah as portrayed in the Book of Nehemiah. Discuss his role as a governor and builder of the walls of Jerusalem, highlighting his determination, organization, and faith in God. Explore the challenges he faced in mobilizing the community and overcoming opposition. Reflect on the lessons in leadership, perseverance, and reliance on divine guidance derived from Nehemiah's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ascii="Segoe UI" w:hAnsi="Segoe UI" w:eastAsia="Segoe UI" w:cs="Segoe UI"/>
                <w:i w:val="0"/>
                <w:iCs w:val="0"/>
                <w:caps w:val="0"/>
                <w:color w:val="374151"/>
                <w:spacing w:val="0"/>
                <w:sz w:val="24"/>
                <w:szCs w:val="24"/>
                <w:shd w:val="clear" w:fill="F7F7F8"/>
              </w:rPr>
              <w:t>Analyze the theme of religious revival and reform in the Book of Ezra. Discuss the challenges faced by the returning exiles in rebuilding the temple and restoring worship practices. Explore the role of Ezra as a religious leader and reformer. Reflect on the importance of spiritual renewal and obedience to God's law in the context of post-exilic Israel.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keepNext w:val="0"/>
              <w:keepLines w:val="0"/>
              <w:widowControl/>
              <w:numPr>
                <w:ilvl w:val="0"/>
                <w:numId w:val="1"/>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ind w:left="0" w:hanging="360"/>
            </w:pPr>
          </w:p>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ascii="Segoe UI" w:hAnsi="Segoe UI" w:eastAsia="Segoe UI" w:cs="Segoe UI"/>
                <w:i w:val="0"/>
                <w:iCs w:val="0"/>
                <w:caps w:val="0"/>
                <w:color w:val="374151"/>
                <w:spacing w:val="0"/>
                <w:sz w:val="24"/>
                <w:szCs w:val="24"/>
                <w:shd w:val="clear" w:fill="F7F7F8"/>
              </w:rPr>
              <w:t>Discuss the interfaith tensions and conflicts depicted in the Book of Ezra, particularly regarding intermarriage between Israelites and non-Israelites. Analyze the measures taken by Ezra to address these issues and the implications for the community. Reflect on the complexities of cultural identity, religious purity, and unity in the restoration of Jerusalem, exploring the lessons that can be drawn for contemporary multicultural societies.</w:t>
            </w:r>
          </w:p>
          <w:p>
            <w:pPr>
              <w:keepNext w:val="0"/>
              <w:keepLines w:val="0"/>
              <w:widowControl/>
              <w:numPr>
                <w:ilvl w:val="0"/>
                <w:numId w:val="1"/>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ind w:left="0" w:hanging="360"/>
            </w:pPr>
          </w:p>
          <w:p>
            <w:pPr>
              <w:pageBreakBefore w:val="0"/>
              <w:kinsoku/>
              <w:wordWrap/>
              <w:overflowPunct/>
              <w:topLinePunct w:val="0"/>
              <w:bidi w:val="0"/>
              <w:snapToGrid/>
              <w:spacing w:before="0" w:after="0" w:line="240" w:lineRule="auto"/>
              <w:jc w:val="left"/>
              <w:textAlignment w:val="auto"/>
              <w:rPr>
                <w:rFonts w:hint="default" w:asciiTheme="minorAsci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Segoe UI" w:hAnsi="Segoe UI" w:eastAsia="Segoe UI" w:cs="Segoe UI"/>
                <w:i w:val="0"/>
                <w:iCs w:val="0"/>
                <w:caps w:val="0"/>
                <w:color w:val="374151"/>
                <w:spacing w:val="0"/>
                <w:sz w:val="24"/>
                <w:szCs w:val="24"/>
                <w:shd w:val="clear" w:fill="F7F7F8"/>
                <w:lang w:val="en-US" w:eastAsia="en-US"/>
              </w:rPr>
            </w:pPr>
            <w:r>
              <w:rPr>
                <w:rFonts w:ascii="Segoe UI" w:hAnsi="Segoe UI" w:eastAsia="Segoe UI" w:cs="Segoe UI"/>
                <w:i w:val="0"/>
                <w:iCs w:val="0"/>
                <w:caps w:val="0"/>
                <w:color w:val="374151"/>
                <w:spacing w:val="0"/>
                <w:sz w:val="24"/>
                <w:szCs w:val="24"/>
                <w:shd w:val="clear" w:fill="F7F7F8"/>
              </w:rPr>
              <w:t>Discuss the themes of loyalty, faithfulness, and redemption in the Book of Ruth. Analyze the relationships between Ruth, Naomi, and Boaz, highlighting the acts of kindness and loyalty demonstrated by each character. Explore the theological significance of the kinsman-redeemer concept and its application in the narrative. Reflect on the broader implications of these themes for personal relationships and social justice.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Ruth</w:t>
            </w:r>
            <w:r>
              <w:rPr>
                <w:rFonts w:hint="default" w:ascii="Segoe UI" w:hAnsi="Segoe UI" w:eastAsia="Segoe UI" w:cs="Segoe UI"/>
                <w:i w:val="0"/>
                <w:iCs w:val="0"/>
                <w:caps w:val="0"/>
                <w:color w:val="374151"/>
                <w:spacing w:val="0"/>
                <w:sz w:val="24"/>
                <w:szCs w:val="24"/>
                <w:shd w:val="clear" w:fill="F7F7F8"/>
                <w:lang w:val="en-US"/>
              </w:rPr>
              <w:t xml:space="preserve">: </w:t>
            </w:r>
            <w:r>
              <w:rPr>
                <w:rFonts w:ascii="Segoe UI" w:hAnsi="Segoe UI" w:eastAsia="Segoe UI" w:cs="Segoe UI"/>
                <w:i w:val="0"/>
                <w:iCs w:val="0"/>
                <w:caps w:val="0"/>
                <w:color w:val="374151"/>
                <w:spacing w:val="0"/>
                <w:sz w:val="24"/>
                <w:szCs w:val="24"/>
                <w:shd w:val="clear" w:fill="F7F7F8"/>
              </w:rPr>
              <w:t>Discuss the significance of the harvest and field settings, as well as the role of genealogy in the story. Analyze the use of imagery and foreshadowing. Reflect on how these literary elements contribute to the overall message and meaning of the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lang w:val="en-US" w:eastAsia="en-US"/>
              </w:rPr>
            </w:pPr>
            <w:r>
              <w:rPr>
                <w:rFonts w:ascii="Segoe UI" w:hAnsi="Segoe UI" w:eastAsia="Segoe UI" w:cs="Segoe UI"/>
                <w:i w:val="0"/>
                <w:iCs w:val="0"/>
                <w:caps w:val="0"/>
                <w:color w:val="374151"/>
                <w:spacing w:val="0"/>
                <w:sz w:val="24"/>
                <w:szCs w:val="24"/>
                <w:shd w:val="clear" w:fill="F7F7F8"/>
              </w:rPr>
              <w:t>Analyze the role of women in the Book of Judges, focusing on characters like Deborah, Jael, and Delilah. Discuss their contributions to the narratives and their impact on the outcomes of the stories. Explore the themes of power, bravery, and deception as portrayed through these women. Reflect on the cultural and social implications of these portrayals.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Examine the cycle of apostasy and deliverance in the Book of Judges. Discuss the recurring pattern of Israel's disobedience, oppression, repentance, and deliverance through judges. Analyze the theological message behind this cycle and its implications for the relationship between God and Israel. Reflect on the lessons about faithfulness and consequences of disobedience.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Explore the concept of conquest and inheritance in the Book of Joshua. Discuss the military campaigns undertaken by the Israelites to claim the Promised Land. Analyze the theological significance of these conquests and the idea of divine promise and fulfillment. Reflect on the ethical implications of the conquest narratives and their impact on the identity of ancient Israel.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keepNext w:val="0"/>
              <w:keepLines w:val="0"/>
              <w:widowControl/>
              <w:numPr>
                <w:ilvl w:val="0"/>
                <w:numId w:val="2"/>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ind w:left="0" w:hanging="360"/>
            </w:pPr>
          </w:p>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ascii="Segoe UI" w:hAnsi="Segoe UI" w:eastAsia="Segoe UI" w:cs="Segoe UI"/>
                <w:i w:val="0"/>
                <w:iCs w:val="0"/>
                <w:caps w:val="0"/>
                <w:color w:val="374151"/>
                <w:spacing w:val="0"/>
                <w:sz w:val="24"/>
                <w:szCs w:val="24"/>
                <w:shd w:val="clear" w:fill="F7F7F8"/>
              </w:rPr>
              <w:t>Describe the leadership style of Joshua as portrayed in the Book of Joshua. Analyze his strategies for leading the Israelites into the Promised Land, managing diverse tribes, and ensuring obedience to God's commands. Discuss the key challenges he faced and the lessons contemporary leaders can draw from his leadership.</w:t>
            </w:r>
          </w:p>
          <w:p>
            <w:pPr>
              <w:keepNext w:val="0"/>
              <w:keepLines w:val="0"/>
              <w:widowControl/>
              <w:numPr>
                <w:ilvl w:val="0"/>
                <w:numId w:val="2"/>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ind w:left="0" w:hanging="360"/>
            </w:pPr>
          </w:p>
          <w:p>
            <w:pPr>
              <w:keepNext w:val="0"/>
              <w:keepLines w:val="0"/>
              <w:widowControl/>
              <w:numPr>
                <w:ilvl w:val="0"/>
                <w:numId w:val="2"/>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ind w:left="0" w:hanging="360"/>
            </w:pP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spacing w:beforeLines="0" w:after="200" w:afterLines="0" w:line="276" w:lineRule="auto"/>
              <w:jc w:val="left"/>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Examine the theme of religious reforms in 2 Chronicles. Discuss the efforts of kings like Hezekiah and Josiah to restore proper worship, eliminate idolatry, and renew the covenant with God. Analyze the challenges they face and the impact of their reforms on the nation. Reflect on the importance of spiritual renewal, obedience to God's law, and the role of leaders in guiding the faith of a 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spacing w:beforeLines="0" w:after="200" w:afterLines="0" w:line="276" w:lineRule="auto"/>
              <w:jc w:val="left"/>
              <w:rPr>
                <w:rFonts w:hint="default" w:asciiTheme="minorHAnsi" w:hAnsiTheme="minorHAnsi" w:eastAsiaTheme="minorHAnsi" w:cstheme="minorBidi"/>
                <w:sz w:val="22"/>
                <w:szCs w:val="22"/>
                <w:lang w:val="en-US" w:eastAsia="en-US" w:bidi="ar-SA"/>
              </w:rPr>
            </w:pPr>
            <w:r>
              <w:rPr>
                <w:rFonts w:hint="default" w:ascii="Segoe UI" w:hAnsi="Segoe UI" w:eastAsia="Segoe UI" w:cs="Segoe UI"/>
                <w:i w:val="0"/>
                <w:iCs w:val="0"/>
                <w:caps w:val="0"/>
                <w:color w:val="374151"/>
                <w:spacing w:val="0"/>
                <w:sz w:val="24"/>
                <w:szCs w:val="24"/>
                <w:shd w:val="clear" w:fill="F7F7F8"/>
                <w:lang w:val="en-US"/>
              </w:rPr>
              <w:t xml:space="preserve"> </w:t>
            </w:r>
            <w:bookmarkStart w:id="1" w:name="_GoBack"/>
            <w:bookmarkEnd w:id="1"/>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1F500"/>
    <w:multiLevelType w:val="multilevel"/>
    <w:tmpl w:val="8FB1F50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BB91116C"/>
    <w:multiLevelType w:val="multilevel"/>
    <w:tmpl w:val="BB91116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0FA9697B"/>
    <w:rsid w:val="116B2407"/>
    <w:rsid w:val="12121B61"/>
    <w:rsid w:val="1A094CF4"/>
    <w:rsid w:val="1A3B64D7"/>
    <w:rsid w:val="1C1C1DAD"/>
    <w:rsid w:val="1D08438F"/>
    <w:rsid w:val="255E45DF"/>
    <w:rsid w:val="25725C15"/>
    <w:rsid w:val="27440426"/>
    <w:rsid w:val="274E30FC"/>
    <w:rsid w:val="277653ED"/>
    <w:rsid w:val="2B551753"/>
    <w:rsid w:val="30481F7D"/>
    <w:rsid w:val="32B236A6"/>
    <w:rsid w:val="347D13A7"/>
    <w:rsid w:val="3992768A"/>
    <w:rsid w:val="3E3E7495"/>
    <w:rsid w:val="3E663240"/>
    <w:rsid w:val="401414DE"/>
    <w:rsid w:val="42905706"/>
    <w:rsid w:val="42AF76FC"/>
    <w:rsid w:val="43FE63E4"/>
    <w:rsid w:val="47935BFE"/>
    <w:rsid w:val="4D6106DF"/>
    <w:rsid w:val="4EDB7377"/>
    <w:rsid w:val="4F4F2850"/>
    <w:rsid w:val="50B13CC3"/>
    <w:rsid w:val="51600477"/>
    <w:rsid w:val="51A223F4"/>
    <w:rsid w:val="520B3352"/>
    <w:rsid w:val="537A3F70"/>
    <w:rsid w:val="54C1393A"/>
    <w:rsid w:val="56192C38"/>
    <w:rsid w:val="5AAE5FCD"/>
    <w:rsid w:val="5D635D76"/>
    <w:rsid w:val="60FD423D"/>
    <w:rsid w:val="633A721E"/>
    <w:rsid w:val="64410A54"/>
    <w:rsid w:val="64C27938"/>
    <w:rsid w:val="65773CE4"/>
    <w:rsid w:val="67251329"/>
    <w:rsid w:val="6888431D"/>
    <w:rsid w:val="6A466704"/>
    <w:rsid w:val="6BB60015"/>
    <w:rsid w:val="701B54FF"/>
    <w:rsid w:val="739A00A3"/>
    <w:rsid w:val="75A541C4"/>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81</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2023-10-27T18:15:15Z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